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观看视频会议回执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70" w:tblpY="33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23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9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备注：请于4月30日将回执盖章扫描发送到协会邮箱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gdalamail@163.com，回复回执视为已参加“广东省风景园林与生态景观协会2019年会员大会视频会议”，并知晓会议内容。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6226"/>
    <w:rsid w:val="7C63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小斯</dc:creator>
  <cp:lastModifiedBy>小斯</cp:lastModifiedBy>
  <dcterms:modified xsi:type="dcterms:W3CDTF">2020-04-24T08:00:57Z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