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2"/>
          <w:szCs w:val="32"/>
        </w:rPr>
      </w:pPr>
      <w:r>
        <w:rPr>
          <w:rFonts w:hint="eastAsia" w:ascii="宋体" w:hAnsi="宋体" w:cs="宋体"/>
          <w:b/>
          <w:kern w:val="0"/>
          <w:sz w:val="32"/>
          <w:szCs w:val="32"/>
        </w:rPr>
        <w:t>附件1：</w:t>
      </w:r>
    </w:p>
    <w:p>
      <w:pPr>
        <w:widowControl/>
        <w:spacing w:line="360" w:lineRule="auto"/>
        <w:jc w:val="center"/>
        <w:rPr>
          <w:rFonts w:ascii="仿宋_GB2312" w:hAnsi="仿宋" w:eastAsia="仿宋_GB2312"/>
          <w:sz w:val="32"/>
          <w:szCs w:val="32"/>
        </w:rPr>
      </w:pPr>
      <w:r>
        <w:rPr>
          <w:rFonts w:hint="eastAsia" w:ascii="宋体" w:hAnsi="宋体" w:cs="宋体"/>
          <w:b/>
          <w:kern w:val="0"/>
          <w:sz w:val="32"/>
          <w:szCs w:val="32"/>
        </w:rPr>
        <w:t>广东省风景园林与生态景观协会科学技术奖（规划设计奖</w:t>
      </w:r>
      <w:r>
        <w:rPr>
          <w:rFonts w:hint="eastAsia" w:ascii="仿宋_GB2312" w:hAnsi="仿宋" w:eastAsia="仿宋_GB2312"/>
          <w:sz w:val="32"/>
          <w:szCs w:val="32"/>
        </w:rPr>
        <w:t>）</w:t>
      </w: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申报办法</w:t>
      </w:r>
    </w:p>
    <w:p>
      <w:pPr>
        <w:widowControl/>
        <w:shd w:val="clear" w:color="auto" w:fill="FFFFFF"/>
        <w:spacing w:line="360" w:lineRule="auto"/>
        <w:jc w:val="left"/>
        <w:rPr>
          <w:rFonts w:ascii="宋体" w:hAnsi="宋体" w:cs="宋体"/>
          <w:kern w:val="0"/>
          <w:sz w:val="24"/>
          <w:szCs w:val="24"/>
        </w:rPr>
      </w:pPr>
    </w:p>
    <w:p>
      <w:pPr>
        <w:widowControl/>
        <w:shd w:val="clear" w:color="auto" w:fill="FFFFFF"/>
        <w:spacing w:line="360" w:lineRule="auto"/>
        <w:jc w:val="center"/>
        <w:rPr>
          <w:rFonts w:ascii="宋体" w:hAnsi="宋体" w:cs="Arial"/>
          <w:b/>
          <w:kern w:val="0"/>
          <w:sz w:val="30"/>
          <w:szCs w:val="30"/>
        </w:rPr>
      </w:pPr>
      <w:r>
        <w:rPr>
          <w:rFonts w:hint="eastAsia" w:ascii="宋体" w:hAnsi="宋体" w:cs="Arial"/>
          <w:b/>
          <w:kern w:val="0"/>
          <w:sz w:val="30"/>
          <w:szCs w:val="30"/>
        </w:rPr>
        <w:t>第一章　总　　则</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第一条</w:t>
      </w:r>
      <w:r>
        <w:rPr>
          <w:rFonts w:hint="eastAsia" w:ascii="宋体" w:hAnsi="宋体" w:cs="宋体"/>
          <w:kern w:val="0"/>
          <w:sz w:val="28"/>
          <w:szCs w:val="28"/>
        </w:rPr>
        <w:t>　为推动广东省风景园林与生态景观工程设计规划行业技术创新，提高工程设计规划水平，引导、鼓励规划及设计单位、人员创作出更多质量优、水平高、效益好的规划设计项目，促进风景园林与生态景观工程设计规划行业健康发展，特制定本办法。</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第二条</w:t>
      </w:r>
      <w:r>
        <w:rPr>
          <w:rFonts w:hint="eastAsia" w:ascii="宋体" w:hAnsi="宋体" w:cs="宋体"/>
          <w:kern w:val="0"/>
          <w:sz w:val="28"/>
          <w:szCs w:val="28"/>
        </w:rPr>
        <w:t>　广东省风景园林与生态景观协会科学技术奖（规划设计奖）（以下简称规划设计奖）是面向全省园林和生态景观行业的优秀工程规划设计奖项。规划设计奖是科学技术奖的子奖项。每两年评选一次，分“规划类”和“设计类”两类，各设立一等奖、二等奖和三等奖。</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第三条</w:t>
      </w:r>
      <w:r>
        <w:rPr>
          <w:rFonts w:hint="eastAsia" w:ascii="宋体" w:hAnsi="宋体" w:cs="宋体"/>
          <w:kern w:val="0"/>
          <w:sz w:val="28"/>
          <w:szCs w:val="28"/>
        </w:rPr>
        <w:t>　评选工作遵循实事求是、科学严谨和公开、公平、公正的原则。</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第四条</w:t>
      </w:r>
      <w:r>
        <w:rPr>
          <w:rFonts w:hint="eastAsia" w:ascii="宋体" w:hAnsi="宋体" w:cs="宋体"/>
          <w:kern w:val="0"/>
          <w:sz w:val="28"/>
          <w:szCs w:val="28"/>
        </w:rPr>
        <w:t>　广东省风景园林与生态景观协会设计专业委员会负责申报工作。</w:t>
      </w:r>
    </w:p>
    <w:p>
      <w:pPr>
        <w:widowControl/>
        <w:shd w:val="clear" w:color="auto" w:fill="FFFFFF"/>
        <w:spacing w:line="360" w:lineRule="auto"/>
        <w:jc w:val="center"/>
        <w:rPr>
          <w:rFonts w:ascii="宋体" w:hAnsi="宋体" w:cs="Arial"/>
          <w:b/>
          <w:kern w:val="0"/>
          <w:sz w:val="28"/>
          <w:szCs w:val="28"/>
        </w:rPr>
      </w:pPr>
    </w:p>
    <w:p>
      <w:pPr>
        <w:widowControl/>
        <w:shd w:val="clear" w:color="auto" w:fill="FFFFFF"/>
        <w:spacing w:line="360" w:lineRule="auto"/>
        <w:jc w:val="center"/>
        <w:rPr>
          <w:rFonts w:ascii="宋体" w:hAnsi="宋体" w:cs="Arial"/>
          <w:b/>
          <w:kern w:val="0"/>
          <w:sz w:val="30"/>
          <w:szCs w:val="30"/>
        </w:rPr>
      </w:pPr>
      <w:r>
        <w:rPr>
          <w:rFonts w:hint="eastAsia" w:ascii="宋体" w:hAnsi="宋体" w:cs="Arial"/>
          <w:b/>
          <w:kern w:val="0"/>
          <w:sz w:val="30"/>
          <w:szCs w:val="30"/>
        </w:rPr>
        <w:t>第二章　申报范围</w:t>
      </w:r>
    </w:p>
    <w:p>
      <w:pPr>
        <w:widowControl/>
        <w:spacing w:line="360" w:lineRule="auto"/>
        <w:ind w:firstLine="562" w:firstLineChars="200"/>
        <w:jc w:val="left"/>
        <w:rPr>
          <w:rFonts w:hint="eastAsia" w:ascii="宋体" w:hAnsi="宋体" w:cs="宋体"/>
          <w:kern w:val="0"/>
          <w:sz w:val="28"/>
          <w:szCs w:val="28"/>
        </w:rPr>
      </w:pPr>
      <w:r>
        <w:rPr>
          <w:rFonts w:hint="eastAsia" w:ascii="宋体" w:hAnsi="宋体" w:cs="宋体"/>
          <w:b/>
          <w:bCs/>
          <w:kern w:val="0"/>
          <w:sz w:val="28"/>
          <w:szCs w:val="28"/>
        </w:rPr>
        <w:t>第五条</w:t>
      </w:r>
      <w:r>
        <w:rPr>
          <w:rFonts w:hint="eastAsia" w:ascii="宋体" w:hAnsi="宋体" w:cs="宋体"/>
          <w:kern w:val="0"/>
          <w:sz w:val="28"/>
          <w:szCs w:val="28"/>
        </w:rPr>
        <w:t>　申报范围包括：</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一、申报项目应为广东省风景园林与生态景观协会会员单位承接或主承接的风景园林和生态景观设计项目、规划项目，凡涉及园林、建筑等多专业的大型综合项目，必须以园林专业为主的项目方可申报。</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二、规划类项目须经规定程序审查通过或批准，法定规划类项目须取得正</w:t>
      </w:r>
      <w:r>
        <w:rPr>
          <w:rFonts w:hint="eastAsia" w:ascii="宋体" w:hAnsi="宋体" w:cs="宋体"/>
          <w:kern w:val="0"/>
          <w:sz w:val="28"/>
          <w:szCs w:val="28"/>
          <w:lang w:val="en-US" w:eastAsia="zh-CN"/>
        </w:rPr>
        <w:t>式</w:t>
      </w:r>
      <w:r>
        <w:rPr>
          <w:rFonts w:hint="eastAsia" w:ascii="宋体" w:hAnsi="宋体" w:cs="宋体"/>
          <w:kern w:val="0"/>
          <w:sz w:val="28"/>
          <w:szCs w:val="28"/>
        </w:rPr>
        <w:t>批复文件，其他规划类项目有行政主管部门批准文件。设计类项目规模在2万平方米以上或造价在500万元人民币以上，为从方案设计到建成实施的完整项目阶段，须取得竣工验收材料。</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三、大型工程规划设计项目如需分期建设等，可按批准立项文件单独分期、分单项申报，按整个项目申报时，其子项目原则上不再另行申报。</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第六条</w:t>
      </w:r>
      <w:r>
        <w:rPr>
          <w:rFonts w:hint="eastAsia" w:ascii="宋体" w:hAnsi="宋体" w:cs="宋体"/>
          <w:kern w:val="0"/>
          <w:sz w:val="28"/>
          <w:szCs w:val="28"/>
        </w:rPr>
        <w:t>　中外合作规划、设计项目，须是申报单位承担主要的工作量及对外方原创方案进行过调整，得到外方确认并共同申报。</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第七条</w:t>
      </w:r>
      <w:r>
        <w:rPr>
          <w:rFonts w:hint="eastAsia" w:ascii="宋体" w:hAnsi="宋体" w:cs="宋体"/>
          <w:kern w:val="0"/>
          <w:sz w:val="28"/>
          <w:szCs w:val="28"/>
        </w:rPr>
        <w:t>　我国工程设计单位在国外（境外）独立承接的工程规划、设计项目可以申报。申报材料需附项目合同、上级主管部门或业主对规划、工程设计的评价证明及初验报告证明。</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602" w:firstLineChars="200"/>
        <w:jc w:val="center"/>
        <w:rPr>
          <w:rFonts w:ascii="宋体" w:hAnsi="宋体" w:cs="Arial"/>
          <w:b/>
          <w:kern w:val="0"/>
          <w:sz w:val="30"/>
          <w:szCs w:val="30"/>
        </w:rPr>
      </w:pPr>
      <w:r>
        <w:rPr>
          <w:rFonts w:hint="eastAsia" w:ascii="宋体" w:hAnsi="宋体" w:cs="Arial"/>
          <w:b/>
          <w:kern w:val="0"/>
          <w:sz w:val="30"/>
          <w:szCs w:val="30"/>
        </w:rPr>
        <w:t>第三章　申报条件和标准</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第八条</w:t>
      </w:r>
      <w:r>
        <w:rPr>
          <w:rFonts w:hint="eastAsia" w:ascii="宋体" w:hAnsi="宋体" w:cs="宋体"/>
          <w:kern w:val="0"/>
          <w:sz w:val="28"/>
          <w:szCs w:val="28"/>
        </w:rPr>
        <w:t>　申报规划设计奖评选的项目必须具备下列条件：</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一、符合国家工程建设的方针、政策和法律、法规，严格执行工程建设强制性标准。采用突破国家技术标准的新技术、新材料，须按照规定通过技术审定；</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二、贯彻执行国家的产业政策，具有先进的设计理念，坚持生态、适用、安全、经济、可持续发展的原则，经实践检验取得良好的经济、社会和环境效益；</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三、符合基本建设程序，符合国家产业政策和强制性标准及规范、无质量安全事故，各项手续完备，取得相关部门审批、初步验收文件，以及项目业主、生产运行单位对项目规划、工程设计的书面评价意见；</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四、申报规划设计奖的单位，必须具有相应的设计或规划资质证书，且最近</w:t>
      </w:r>
      <w:r>
        <w:rPr>
          <w:rFonts w:ascii="宋体" w:hAnsi="宋体" w:cs="宋体"/>
          <w:kern w:val="0"/>
          <w:sz w:val="28"/>
          <w:szCs w:val="28"/>
        </w:rPr>
        <w:t>3</w:t>
      </w:r>
      <w:r>
        <w:rPr>
          <w:rFonts w:hint="eastAsia" w:ascii="宋体" w:hAnsi="宋体" w:cs="宋体"/>
          <w:kern w:val="0"/>
          <w:sz w:val="28"/>
          <w:szCs w:val="28"/>
        </w:rPr>
        <w:t>年内没有发生过重大设计质量安全事故。</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第九条</w:t>
      </w:r>
      <w:r>
        <w:rPr>
          <w:rFonts w:hint="eastAsia" w:ascii="宋体" w:hAnsi="宋体" w:cs="宋体"/>
          <w:kern w:val="0"/>
          <w:sz w:val="28"/>
          <w:szCs w:val="28"/>
        </w:rPr>
        <w:t>　规划设计奖各奖项应达到以下标准：</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一等奖项目：其主要技术成果应达到同期省内领先水平并具有比较突出的创新性，对行业发展有引领作用；</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二等奖项目：其主要技术成果应达到同期省内先进水平并具有较大的创新性；</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三等奖项目：其主要技术成果应达到较高水平并具有一定的创新性。</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602" w:firstLineChars="200"/>
        <w:jc w:val="center"/>
        <w:rPr>
          <w:rFonts w:ascii="宋体" w:hAnsi="宋体" w:cs="Arial"/>
          <w:b/>
          <w:kern w:val="0"/>
          <w:sz w:val="30"/>
          <w:szCs w:val="30"/>
        </w:rPr>
      </w:pPr>
      <w:r>
        <w:rPr>
          <w:rFonts w:hint="eastAsia" w:ascii="宋体" w:hAnsi="宋体" w:cs="Arial"/>
          <w:b/>
          <w:kern w:val="0"/>
          <w:sz w:val="30"/>
          <w:szCs w:val="30"/>
        </w:rPr>
        <w:t>第四章　申报、组织与结果公布</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第十条</w:t>
      </w:r>
      <w:r>
        <w:rPr>
          <w:rFonts w:hint="eastAsia" w:ascii="宋体" w:hAnsi="宋体" w:cs="宋体"/>
          <w:kern w:val="0"/>
          <w:sz w:val="28"/>
          <w:szCs w:val="28"/>
        </w:rPr>
        <w:t>　申报规划设计奖的项目，由申报单位填写申报表，单位法定代表人签署意见，加盖单位公章。申报材料应包括申报表、本办法规定的申报范围和条件所要求材料和相关证明等。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kern w:val="0"/>
          <w:sz w:val="28"/>
          <w:szCs w:val="28"/>
        </w:rPr>
      </w:pPr>
      <w:r>
        <w:rPr>
          <w:rFonts w:hint="eastAsia" w:ascii="宋体" w:hAnsi="宋体" w:cs="宋体"/>
          <w:b/>
          <w:bCs/>
          <w:kern w:val="0"/>
          <w:sz w:val="28"/>
          <w:szCs w:val="28"/>
        </w:rPr>
        <w:t>第十一条</w:t>
      </w:r>
      <w:r>
        <w:rPr>
          <w:rFonts w:hint="eastAsia" w:ascii="宋体" w:hAnsi="宋体" w:cs="宋体"/>
          <w:kern w:val="0"/>
          <w:sz w:val="28"/>
          <w:szCs w:val="28"/>
        </w:rPr>
        <w:t>　同一个项目只能申报一次。暂缓申报的项目，可参加下一届。凡曾参加风景园林设计、规划评比的项目，无论获奖与否，不得再次申报。</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第十二条</w:t>
      </w:r>
      <w:r>
        <w:rPr>
          <w:rFonts w:hint="eastAsia" w:ascii="宋体" w:hAnsi="宋体" w:cs="宋体"/>
          <w:kern w:val="0"/>
          <w:sz w:val="28"/>
          <w:szCs w:val="28"/>
        </w:rPr>
        <w:t>　规划设计奖项目申报材料由申报单位直接报广东省风景园林与生态景观协会风景园林设计专业委员会。</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第十三条</w:t>
      </w:r>
      <w:r>
        <w:rPr>
          <w:rFonts w:hint="eastAsia" w:ascii="宋体" w:hAnsi="宋体" w:cs="宋体"/>
          <w:kern w:val="0"/>
          <w:sz w:val="28"/>
          <w:szCs w:val="28"/>
        </w:rPr>
        <w:t>　广东省风景园林与生态景观协会风景园林设计专业委员会组织评审组，具体负责评审工作。评审组评委人数为不少于</w:t>
      </w:r>
      <w:r>
        <w:rPr>
          <w:rFonts w:ascii="宋体" w:hAnsi="宋体" w:cs="宋体"/>
          <w:kern w:val="0"/>
          <w:sz w:val="28"/>
          <w:szCs w:val="28"/>
        </w:rPr>
        <w:t>5</w:t>
      </w:r>
      <w:r>
        <w:rPr>
          <w:rFonts w:hint="eastAsia" w:ascii="宋体" w:hAnsi="宋体" w:cs="宋体"/>
          <w:kern w:val="0"/>
          <w:sz w:val="28"/>
          <w:szCs w:val="28"/>
        </w:rPr>
        <w:t>人的奇数。评审组评委从广东省风景园林与生态景观协会风景园林设计专业委员会中的园林专家选任。</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第十四条</w:t>
      </w:r>
      <w:r>
        <w:rPr>
          <w:rFonts w:hint="eastAsia" w:ascii="宋体" w:hAnsi="宋体" w:cs="宋体"/>
          <w:kern w:val="0"/>
          <w:sz w:val="28"/>
          <w:szCs w:val="28"/>
        </w:rPr>
        <w:t>　规划设计奖申报程序：</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一、材料审核。风景园林设计专业委员会对申报材料的完整性与符合性进行审核，对于有瑕疵的申报材料及时与申报单位沟通并完善申报材料。将合格的申报材料报送评审组。</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二、初步评审。评审组内分小组对申报材料进行初步评审，提出本小组的获奖项目建议名单。</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三、综合评审。评审组对各小组提交的建议名单进行综合评审，采用记名投票方式，提出规划设计奖获奖项目提名名单。必要时可组织有关专家到现场核查。</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四、公示。规划设计奖获奖项目提名名单在广东省风景园林与生态景观协会网站上进行公示，公示期限为</w:t>
      </w:r>
      <w:r>
        <w:rPr>
          <w:rFonts w:hint="eastAsia" w:ascii="宋体" w:hAnsi="宋体" w:cs="宋体"/>
          <w:kern w:val="0"/>
          <w:sz w:val="28"/>
          <w:szCs w:val="28"/>
          <w:lang w:val="en-US" w:eastAsia="zh-CN"/>
        </w:rPr>
        <w:t>7</w:t>
      </w:r>
      <w:r>
        <w:rPr>
          <w:rFonts w:hint="eastAsia" w:ascii="宋体" w:hAnsi="宋体" w:cs="宋体"/>
          <w:kern w:val="0"/>
          <w:sz w:val="28"/>
          <w:szCs w:val="28"/>
        </w:rPr>
        <w:t>个工作日。</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五、审定、公布结果。根据公示情况，按有关规定，广东省风景园林与生态景观协会对规划设计奖获奖名单进行审定并公布。</w:t>
      </w:r>
    </w:p>
    <w:p>
      <w:pPr>
        <w:widowControl/>
        <w:shd w:val="clear" w:color="auto" w:fill="FFFFFF"/>
        <w:spacing w:line="360" w:lineRule="auto"/>
        <w:ind w:firstLine="560" w:firstLineChars="200"/>
        <w:jc w:val="left"/>
        <w:rPr>
          <w:rFonts w:ascii="宋体" w:hAnsi="宋体" w:cs="Arial"/>
          <w:kern w:val="0"/>
          <w:sz w:val="28"/>
          <w:szCs w:val="28"/>
        </w:rPr>
      </w:pPr>
    </w:p>
    <w:p>
      <w:pPr>
        <w:widowControl/>
        <w:shd w:val="clear" w:color="auto" w:fill="FFFFFF"/>
        <w:spacing w:line="360" w:lineRule="auto"/>
        <w:jc w:val="center"/>
        <w:rPr>
          <w:rFonts w:ascii="宋体" w:hAnsi="宋体" w:cs="Arial"/>
          <w:b/>
          <w:kern w:val="0"/>
          <w:sz w:val="30"/>
          <w:szCs w:val="30"/>
        </w:rPr>
      </w:pPr>
      <w:r>
        <w:rPr>
          <w:rFonts w:hint="eastAsia" w:ascii="宋体" w:hAnsi="宋体" w:cs="Arial"/>
          <w:b/>
          <w:kern w:val="0"/>
          <w:sz w:val="30"/>
          <w:szCs w:val="30"/>
        </w:rPr>
        <w:t>第五章　奖　　惩</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第十五条</w:t>
      </w:r>
      <w:r>
        <w:rPr>
          <w:rFonts w:hint="eastAsia" w:ascii="宋体" w:hAnsi="宋体" w:cs="宋体"/>
          <w:kern w:val="0"/>
          <w:sz w:val="28"/>
          <w:szCs w:val="28"/>
        </w:rPr>
        <w:t>　对获得规划设计奖的项目，广东省风景园林与生态景观协会向获奖单位颁发奖牌和奖状，向主要设计或规划人员颁发个人荣誉证书。</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第十六条</w:t>
      </w:r>
      <w:r>
        <w:rPr>
          <w:rFonts w:hint="eastAsia" w:ascii="宋体" w:hAnsi="宋体" w:cs="宋体"/>
          <w:kern w:val="0"/>
          <w:sz w:val="28"/>
          <w:szCs w:val="28"/>
        </w:rPr>
        <w:t>　规划设计奖规划类和设计类授奖人数分别不超过15和12人。</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第十七条</w:t>
      </w:r>
      <w:r>
        <w:rPr>
          <w:rFonts w:hint="eastAsia" w:ascii="宋体" w:hAnsi="宋体" w:cs="宋体"/>
          <w:kern w:val="0"/>
          <w:sz w:val="28"/>
          <w:szCs w:val="28"/>
        </w:rPr>
        <w:t>　申报单位必须实事求是，不得弄虚作假。结果公布后如发现与获奖条件不符，将视情节轻重和影响程度，分别给予降低奖励等级、撤销奖励、通报批评、停止获奖单位两届申报资格的处理。</w:t>
      </w:r>
    </w:p>
    <w:p>
      <w:pPr>
        <w:widowControl/>
        <w:spacing w:line="360" w:lineRule="auto"/>
        <w:ind w:firstLine="562" w:firstLineChars="200"/>
        <w:jc w:val="left"/>
        <w:rPr>
          <w:rFonts w:ascii="宋体" w:hAnsi="宋体" w:cs="Arial"/>
          <w:kern w:val="0"/>
          <w:sz w:val="28"/>
          <w:szCs w:val="28"/>
        </w:rPr>
      </w:pPr>
      <w:r>
        <w:rPr>
          <w:rFonts w:hint="eastAsia" w:ascii="宋体" w:hAnsi="宋体" w:cs="宋体"/>
          <w:b/>
          <w:bCs/>
          <w:kern w:val="0"/>
          <w:sz w:val="28"/>
          <w:szCs w:val="28"/>
        </w:rPr>
        <w:t>第十八条</w:t>
      </w:r>
      <w:r>
        <w:rPr>
          <w:rFonts w:hint="eastAsia" w:ascii="宋体" w:hAnsi="宋体" w:cs="宋体"/>
          <w:kern w:val="0"/>
          <w:sz w:val="28"/>
          <w:szCs w:val="28"/>
        </w:rPr>
        <w:t>　参加评审的专家要以严肃、认真和高度负责的态度进行评选工作，对违反评选纪律者，取消其评审专家资格。</w:t>
      </w:r>
    </w:p>
    <w:p>
      <w:pPr>
        <w:widowControl/>
        <w:shd w:val="clear" w:color="auto" w:fill="FFFFFF"/>
        <w:spacing w:line="360" w:lineRule="auto"/>
        <w:ind w:firstLine="562" w:firstLineChars="200"/>
        <w:jc w:val="center"/>
        <w:rPr>
          <w:rFonts w:ascii="宋体" w:hAnsi="宋体" w:cs="Arial"/>
          <w:b/>
          <w:kern w:val="0"/>
          <w:sz w:val="28"/>
          <w:szCs w:val="28"/>
        </w:rPr>
      </w:pPr>
    </w:p>
    <w:p>
      <w:pPr>
        <w:widowControl/>
        <w:shd w:val="clear" w:color="auto" w:fill="FFFFFF"/>
        <w:spacing w:line="360" w:lineRule="auto"/>
        <w:ind w:firstLine="602" w:firstLineChars="200"/>
        <w:jc w:val="center"/>
        <w:rPr>
          <w:rFonts w:ascii="宋体" w:hAnsi="宋体" w:cs="Arial"/>
          <w:b/>
          <w:kern w:val="0"/>
          <w:sz w:val="30"/>
          <w:szCs w:val="30"/>
        </w:rPr>
      </w:pPr>
      <w:r>
        <w:rPr>
          <w:rFonts w:hint="eastAsia" w:ascii="宋体" w:hAnsi="宋体" w:cs="Arial"/>
          <w:b/>
          <w:kern w:val="0"/>
          <w:sz w:val="30"/>
          <w:szCs w:val="30"/>
        </w:rPr>
        <w:t>第六章　附　则</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第十九条</w:t>
      </w:r>
      <w:r>
        <w:rPr>
          <w:rFonts w:hint="eastAsia" w:ascii="宋体" w:hAnsi="宋体" w:cs="宋体"/>
          <w:kern w:val="0"/>
          <w:sz w:val="28"/>
          <w:szCs w:val="28"/>
        </w:rPr>
        <w:t>　规划设计奖评选不向申报单位收取费用。</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第二十条</w:t>
      </w:r>
      <w:r>
        <w:rPr>
          <w:rFonts w:hint="eastAsia" w:ascii="宋体" w:hAnsi="宋体" w:cs="宋体"/>
          <w:kern w:val="0"/>
          <w:sz w:val="28"/>
          <w:szCs w:val="28"/>
        </w:rPr>
        <w:t>　本办法自公布之日起施行。</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第二十一条</w:t>
      </w:r>
      <w:r>
        <w:rPr>
          <w:rFonts w:hint="eastAsia" w:ascii="宋体" w:hAnsi="宋体" w:cs="宋体"/>
          <w:kern w:val="0"/>
          <w:sz w:val="28"/>
          <w:szCs w:val="28"/>
        </w:rPr>
        <w:t>　本办法由广东省风景园林与生态景观协会负责解释。</w:t>
      </w:r>
    </w:p>
    <w:p>
      <w:pPr>
        <w:widowControl/>
        <w:spacing w:line="360" w:lineRule="auto"/>
        <w:ind w:firstLine="560" w:firstLineChars="200"/>
        <w:jc w:val="left"/>
        <w:rPr>
          <w:rFonts w:ascii="宋体" w:hAnsi="宋体" w:cs="宋体"/>
          <w:kern w:val="0"/>
          <w:sz w:val="28"/>
          <w:szCs w:val="28"/>
        </w:rPr>
      </w:pPr>
      <w:bookmarkStart w:id="0" w:name="_GoBack"/>
      <w:bookmarkEnd w:id="0"/>
    </w:p>
    <w:p>
      <w:pPr>
        <w:widowControl/>
        <w:spacing w:line="360" w:lineRule="auto"/>
        <w:ind w:firstLine="560" w:firstLineChars="200"/>
        <w:jc w:val="right"/>
        <w:rPr>
          <w:rFonts w:ascii="宋体" w:hAnsi="宋体" w:cs="宋体"/>
          <w:b/>
          <w:kern w:val="0"/>
          <w:sz w:val="28"/>
          <w:szCs w:val="28"/>
        </w:rPr>
      </w:pPr>
      <w:r>
        <w:rPr>
          <w:rFonts w:hint="eastAsia" w:ascii="宋体" w:hAnsi="宋体" w:cs="宋体"/>
          <w:kern w:val="0"/>
          <w:sz w:val="28"/>
          <w:szCs w:val="28"/>
        </w:rPr>
        <w:t xml:space="preserve">                    广东省风景园林与生态景观协会</w:t>
      </w:r>
    </w:p>
    <w:p>
      <w:pPr>
        <w:widowControl/>
        <w:spacing w:line="360" w:lineRule="auto"/>
        <w:ind w:firstLine="562" w:firstLineChars="200"/>
        <w:jc w:val="right"/>
        <w:rPr>
          <w:rFonts w:ascii="宋体" w:hAnsi="宋体" w:cs="Arial"/>
          <w:b w:val="0"/>
          <w:bCs/>
          <w:kern w:val="0"/>
          <w:sz w:val="28"/>
          <w:szCs w:val="28"/>
        </w:rPr>
      </w:pPr>
      <w:r>
        <w:rPr>
          <w:rFonts w:hint="eastAsia" w:ascii="宋体" w:hAnsi="宋体" w:cs="宋体"/>
          <w:b/>
          <w:kern w:val="0"/>
          <w:sz w:val="28"/>
          <w:szCs w:val="28"/>
        </w:rPr>
        <w:t xml:space="preserve">                            </w:t>
      </w:r>
      <w:r>
        <w:rPr>
          <w:rFonts w:hint="eastAsia" w:ascii="宋体" w:hAnsi="宋体" w:cs="宋体"/>
          <w:b w:val="0"/>
          <w:bCs/>
          <w:kern w:val="0"/>
          <w:sz w:val="28"/>
          <w:szCs w:val="28"/>
        </w:rPr>
        <w:t xml:space="preserve"> 202</w:t>
      </w:r>
      <w:r>
        <w:rPr>
          <w:rFonts w:hint="eastAsia" w:ascii="宋体" w:hAnsi="宋体" w:cs="宋体"/>
          <w:b w:val="0"/>
          <w:bCs/>
          <w:kern w:val="0"/>
          <w:sz w:val="28"/>
          <w:szCs w:val="28"/>
          <w:lang w:val="en-US" w:eastAsia="zh-CN"/>
        </w:rPr>
        <w:t>2</w:t>
      </w:r>
      <w:r>
        <w:rPr>
          <w:rFonts w:hint="eastAsia" w:ascii="宋体" w:hAnsi="宋体" w:cs="宋体"/>
          <w:b w:val="0"/>
          <w:bCs/>
          <w:kern w:val="0"/>
          <w:sz w:val="28"/>
          <w:szCs w:val="28"/>
        </w:rPr>
        <w:t>年</w:t>
      </w:r>
      <w:r>
        <w:rPr>
          <w:rFonts w:hint="eastAsia" w:ascii="宋体" w:hAnsi="宋体" w:cs="宋体"/>
          <w:b w:val="0"/>
          <w:bCs/>
          <w:kern w:val="0"/>
          <w:sz w:val="28"/>
          <w:szCs w:val="28"/>
          <w:lang w:val="en-US" w:eastAsia="zh-CN"/>
        </w:rPr>
        <w:t>2</w:t>
      </w:r>
      <w:r>
        <w:rPr>
          <w:rFonts w:hint="eastAsia" w:ascii="宋体" w:hAnsi="宋体" w:cs="宋体"/>
          <w:b w:val="0"/>
          <w:bCs/>
          <w:kern w:val="0"/>
          <w:sz w:val="28"/>
          <w:szCs w:val="28"/>
        </w:rPr>
        <w:t>月</w:t>
      </w:r>
      <w:r>
        <w:rPr>
          <w:rFonts w:hint="eastAsia" w:ascii="宋体" w:hAnsi="宋体" w:cs="宋体"/>
          <w:b w:val="0"/>
          <w:bCs/>
          <w:kern w:val="0"/>
          <w:sz w:val="28"/>
          <w:szCs w:val="28"/>
          <w:lang w:val="en-US" w:eastAsia="zh-CN"/>
        </w:rPr>
        <w:t>17</w:t>
      </w:r>
      <w:r>
        <w:rPr>
          <w:rFonts w:hint="eastAsia" w:ascii="宋体" w:hAnsi="宋体" w:cs="宋体"/>
          <w:b w:val="0"/>
          <w:bCs/>
          <w:kern w:val="0"/>
          <w:sz w:val="28"/>
          <w:szCs w:val="28"/>
        </w:rPr>
        <w:t>日</w:t>
      </w:r>
    </w:p>
    <w:p>
      <w:pPr>
        <w:widowControl/>
        <w:spacing w:line="360" w:lineRule="auto"/>
        <w:jc w:val="left"/>
        <w:rPr>
          <w:rFonts w:ascii="宋体" w:hAnsi="宋体" w:cs="宋体"/>
          <w:b/>
          <w:kern w:val="0"/>
          <w:sz w:val="30"/>
          <w:szCs w:val="30"/>
        </w:rPr>
      </w:pPr>
    </w:p>
    <w:p>
      <w:pPr>
        <w:widowControl/>
        <w:spacing w:line="360" w:lineRule="auto"/>
        <w:jc w:val="left"/>
        <w:rPr>
          <w:rFonts w:ascii="宋体" w:hAnsi="宋体" w:cs="宋体"/>
          <w:b/>
          <w:kern w:val="0"/>
          <w:sz w:val="30"/>
          <w:szCs w:val="30"/>
        </w:rPr>
      </w:pPr>
    </w:p>
    <w:p>
      <w:pPr>
        <w:widowControl/>
        <w:spacing w:line="360" w:lineRule="auto"/>
        <w:jc w:val="left"/>
        <w:rPr>
          <w:rFonts w:ascii="宋体" w:hAnsi="宋体" w:cs="宋体"/>
          <w:b/>
          <w:kern w:val="0"/>
          <w:sz w:val="30"/>
          <w:szCs w:val="30"/>
        </w:rPr>
      </w:pPr>
    </w:p>
    <w:p>
      <w:pPr>
        <w:widowControl/>
        <w:spacing w:line="360" w:lineRule="auto"/>
        <w:jc w:val="left"/>
        <w:rPr>
          <w:rFonts w:ascii="宋体" w:hAnsi="宋体" w:cs="宋体"/>
          <w:b/>
          <w:kern w:val="0"/>
          <w:sz w:val="30"/>
          <w:szCs w:val="30"/>
        </w:rPr>
      </w:pPr>
    </w:p>
    <w:p>
      <w:pPr>
        <w:widowControl/>
        <w:jc w:val="left"/>
        <w:rPr>
          <w:rFonts w:ascii="宋体" w:hAnsi="宋体" w:cs="宋体"/>
          <w:b/>
          <w:kern w:val="0"/>
          <w:sz w:val="30"/>
          <w:szCs w:val="30"/>
        </w:rPr>
      </w:pPr>
    </w:p>
    <w:sectPr>
      <w:footerReference r:id="rId3" w:type="default"/>
      <w:pgSz w:w="11906" w:h="16838"/>
      <w:pgMar w:top="1134" w:right="1474" w:bottom="90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45"/>
    <w:rsid w:val="00077846"/>
    <w:rsid w:val="000B6ED0"/>
    <w:rsid w:val="000E056F"/>
    <w:rsid w:val="00117928"/>
    <w:rsid w:val="00135264"/>
    <w:rsid w:val="00155617"/>
    <w:rsid w:val="00161663"/>
    <w:rsid w:val="001625DD"/>
    <w:rsid w:val="00177595"/>
    <w:rsid w:val="001F33D3"/>
    <w:rsid w:val="001F5FB1"/>
    <w:rsid w:val="00231221"/>
    <w:rsid w:val="00244E4A"/>
    <w:rsid w:val="00270039"/>
    <w:rsid w:val="002845F8"/>
    <w:rsid w:val="002B16A4"/>
    <w:rsid w:val="002B6056"/>
    <w:rsid w:val="002E4887"/>
    <w:rsid w:val="002E73E8"/>
    <w:rsid w:val="00345AC8"/>
    <w:rsid w:val="0035461F"/>
    <w:rsid w:val="003756B2"/>
    <w:rsid w:val="00465819"/>
    <w:rsid w:val="004B6F5E"/>
    <w:rsid w:val="004E1D68"/>
    <w:rsid w:val="00513E69"/>
    <w:rsid w:val="00567D51"/>
    <w:rsid w:val="00580E68"/>
    <w:rsid w:val="005943D1"/>
    <w:rsid w:val="005C4281"/>
    <w:rsid w:val="005D09D4"/>
    <w:rsid w:val="005E6ED8"/>
    <w:rsid w:val="0061544C"/>
    <w:rsid w:val="00691279"/>
    <w:rsid w:val="006B2FAE"/>
    <w:rsid w:val="006C1A50"/>
    <w:rsid w:val="006E4245"/>
    <w:rsid w:val="006F2D0D"/>
    <w:rsid w:val="006F4A56"/>
    <w:rsid w:val="00727EBB"/>
    <w:rsid w:val="00740608"/>
    <w:rsid w:val="00740D13"/>
    <w:rsid w:val="007716BF"/>
    <w:rsid w:val="007828FE"/>
    <w:rsid w:val="007D3342"/>
    <w:rsid w:val="007D426B"/>
    <w:rsid w:val="00803724"/>
    <w:rsid w:val="00821302"/>
    <w:rsid w:val="00866BBF"/>
    <w:rsid w:val="008937AD"/>
    <w:rsid w:val="008D41FF"/>
    <w:rsid w:val="009413B9"/>
    <w:rsid w:val="00994218"/>
    <w:rsid w:val="00A26289"/>
    <w:rsid w:val="00A43F74"/>
    <w:rsid w:val="00A66D01"/>
    <w:rsid w:val="00AA3B75"/>
    <w:rsid w:val="00AE6CDE"/>
    <w:rsid w:val="00B3289E"/>
    <w:rsid w:val="00B60BE1"/>
    <w:rsid w:val="00B72CCD"/>
    <w:rsid w:val="00B77A9B"/>
    <w:rsid w:val="00C74857"/>
    <w:rsid w:val="00CF28CB"/>
    <w:rsid w:val="00D55D2F"/>
    <w:rsid w:val="00D866BC"/>
    <w:rsid w:val="00E33722"/>
    <w:rsid w:val="00E56F8F"/>
    <w:rsid w:val="00EA68A5"/>
    <w:rsid w:val="00EB05CB"/>
    <w:rsid w:val="00ED5BB4"/>
    <w:rsid w:val="00EF3D9B"/>
    <w:rsid w:val="00F64CF5"/>
    <w:rsid w:val="00F7114D"/>
    <w:rsid w:val="00F8641A"/>
    <w:rsid w:val="00F91990"/>
    <w:rsid w:val="0E2A1719"/>
    <w:rsid w:val="22D86E38"/>
    <w:rsid w:val="268924CA"/>
    <w:rsid w:val="599972F0"/>
    <w:rsid w:val="73F30B90"/>
    <w:rsid w:val="78291DEE"/>
    <w:rsid w:val="79E4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53504-179B-4DD1-AEF3-72F5C1275D69}">
  <ds:schemaRefs/>
</ds:datastoreItem>
</file>

<file path=docProps/app.xml><?xml version="1.0" encoding="utf-8"?>
<Properties xmlns="http://schemas.openxmlformats.org/officeDocument/2006/extended-properties" xmlns:vt="http://schemas.openxmlformats.org/officeDocument/2006/docPropsVTypes">
  <Template>Normal</Template>
  <Pages>18</Pages>
  <Words>883</Words>
  <Characters>5037</Characters>
  <Lines>41</Lines>
  <Paragraphs>11</Paragraphs>
  <TotalTime>46</TotalTime>
  <ScaleCrop>false</ScaleCrop>
  <LinksUpToDate>false</LinksUpToDate>
  <CharactersWithSpaces>5909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2020-05-12T07:01:00Z</dcterms:created>
  <dc:creator>admin</dc:creator>
  <cp:lastModifiedBy>小斯</cp:lastModifiedBy>
  <cp:lastPrinted>2022-02-15T03:14:00Z</cp:lastPrinted>
  <dcterms:modified xsi:type="dcterms:W3CDTF">2022-02-18T03:26:25Z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9D17C69C6FD94901A571AF4A21B8C139</vt:lpwstr>
  </property>
</Properties>
</file>